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90" w:before="90"/>
        <w:ind w:firstLine="0" w:left="0" w:right="0"/>
        <w:rPr>
          <w:b w:val="1"/>
          <w:sz w:val="36"/>
        </w:rPr>
      </w:pPr>
      <w:r>
        <w:rPr>
          <w:b w:val="1"/>
          <w:sz w:val="36"/>
        </w:rPr>
        <w:t>О снижении бюрократической нагрузки на учителей</w:t>
      </w:r>
    </w:p>
    <w:p w14:paraId="03000000">
      <w:pPr>
        <w:spacing w:after="134" w:before="134"/>
        <w:ind w:firstLine="0" w:left="0" w:right="0"/>
        <w:jc w:val="both"/>
      </w:pPr>
      <w:r>
        <w:t>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  <w:r>
        <w:br/>
      </w:r>
      <w:r>
        <w:t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Минпросвещения России от 21.07.2022 № 582.</w:t>
      </w:r>
      <w:r>
        <w:br/>
      </w:r>
      <w: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</w:t>
      </w:r>
      <w:r>
        <w:br/>
      </w:r>
      <w: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</w:t>
      </w:r>
    </w:p>
    <w:p w14:paraId="04000000">
      <w:pPr>
        <w:spacing w:after="134" w:before="134"/>
        <w:ind w:firstLine="0" w:left="0" w:right="0"/>
      </w:pPr>
      <w:r>
        <w:rPr>
          <w:b w:val="1"/>
        </w:rPr>
        <w:t>ФЕДЕРАЛЬНЫЙ УРОВЕНЬ</w:t>
      </w:r>
    </w:p>
    <w:p w14:paraId="05000000">
      <w:pPr>
        <w:spacing w:after="134" w:before="134"/>
        <w:ind w:firstLine="0" w:left="0" w:right="0"/>
        <w:jc w:val="both"/>
      </w:pPr>
      <w:r>
        <w:t>Министерство ведёт последовательную работу по снижению бюрократической нагрузки на педагогов. Ранее совместно с Рособрнадзором Министерством уже были выпущены рекомендации, чётко ограничивающие бюрократическую нагрузку на педагогов и сокращающие список необходимых документов для заполнения.</w:t>
      </w:r>
    </w:p>
    <w:p w14:paraId="06000000">
      <w:pPr>
        <w:spacing w:after="134" w:before="134"/>
        <w:ind w:firstLine="0" w:left="0" w:right="0"/>
      </w:pPr>
    </w:p>
    <w:p w14:paraId="07000000">
      <w:pPr>
        <w:spacing w:after="120" w:before="120"/>
        <w:ind w:firstLine="0" w:left="120" w:right="120"/>
        <w:jc w:val="both"/>
      </w:pPr>
      <w:r>
        <w:t xml:space="preserve">Электронная приёмная </w:t>
      </w:r>
      <w:r>
        <w:rPr>
          <w:b w:val="1"/>
          <w:color w:val="0000EE"/>
          <w:u w:color="000000" w:val="single"/>
        </w:rPr>
        <w:t>2022@edu.gov.ru</w:t>
      </w:r>
      <w:r>
        <w:t xml:space="preserve"> работает круглосуточно. Всё, что нужно, это написать своё обращение и отправить его на электронную почту, указав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t>– свои координаты и удобную обратную связь;</w:t>
      </w:r>
      <w:r>
        <w:br/>
      </w:r>
      <w:r>
        <w:t>– регион;</w:t>
      </w:r>
      <w:r>
        <w:br/>
      </w:r>
      <w:r>
        <w:t>– педагогический стаж.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basedOn w:val="Style_11"/>
    <w:link w:val="Style_10_ch"/>
    <w:rPr>
      <w:color w:themeColor="hyperlink" w:val="0563C1"/>
      <w:u w:val="single"/>
    </w:rPr>
  </w:style>
  <w:style w:styleId="Style_10_ch" w:type="character">
    <w:name w:val="Hyperlink"/>
    <w:basedOn w:val="Style_11_ch"/>
    <w:link w:val="Style_10"/>
    <w:rPr>
      <w:color w:themeColor="hyperlink" w:val="0563C1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Balloon Text"/>
    <w:basedOn w:val="Style_1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1_ch"/>
    <w:link w:val="Style_15"/>
    <w:rPr>
      <w:rFonts w:ascii="Segoe UI" w:hAnsi="Segoe UI"/>
      <w:sz w:val="1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2024-11-05T05:17:29Z</dcterms:modified>
</cp:coreProperties>
</file>